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69" w:rsidRPr="00D718E6" w:rsidRDefault="00140E69" w:rsidP="00140E69">
      <w:pPr>
        <w:jc w:val="right"/>
        <w:rPr>
          <w:b/>
        </w:rPr>
      </w:pPr>
      <w:r w:rsidRPr="00D718E6">
        <w:rPr>
          <w:b/>
        </w:rPr>
        <w:t>Příloha č. k</w:t>
      </w:r>
      <w:r w:rsidR="008161AC" w:rsidRPr="00D718E6">
        <w:rPr>
          <w:b/>
        </w:rPr>
        <w:t> </w:t>
      </w:r>
      <w:r w:rsidRPr="00D718E6">
        <w:rPr>
          <w:b/>
        </w:rPr>
        <w:t>usn</w:t>
      </w:r>
      <w:r w:rsidR="008161AC" w:rsidRPr="00D718E6">
        <w:rPr>
          <w:b/>
        </w:rPr>
        <w:t xml:space="preserve">esení </w:t>
      </w:r>
      <w:r w:rsidRPr="00D718E6">
        <w:rPr>
          <w:b/>
        </w:rPr>
        <w:t xml:space="preserve">ZMČ  </w:t>
      </w:r>
      <w:r w:rsidR="008161AC" w:rsidRPr="00D718E6">
        <w:rPr>
          <w:b/>
        </w:rPr>
        <w:t>č. 3</w:t>
      </w:r>
      <w:r w:rsidRPr="00D718E6">
        <w:rPr>
          <w:b/>
        </w:rPr>
        <w:t xml:space="preserve">/2018 </w:t>
      </w:r>
      <w:r w:rsidR="008161AC" w:rsidRPr="00D718E6">
        <w:rPr>
          <w:b/>
        </w:rPr>
        <w:t>(bod 3/5</w:t>
      </w:r>
      <w:r w:rsidR="00D718E6">
        <w:rPr>
          <w:b/>
        </w:rPr>
        <w:t>b</w:t>
      </w:r>
      <w:r w:rsidR="008161AC" w:rsidRPr="00D718E6">
        <w:rPr>
          <w:b/>
        </w:rPr>
        <w:t xml:space="preserve">) </w:t>
      </w:r>
      <w:r w:rsidRPr="00D718E6">
        <w:rPr>
          <w:b/>
        </w:rPr>
        <w:t>ze dne</w:t>
      </w:r>
      <w:r w:rsidR="008161AC" w:rsidRPr="00D718E6">
        <w:rPr>
          <w:b/>
        </w:rPr>
        <w:t xml:space="preserve"> </w:t>
      </w:r>
      <w:proofErr w:type="gramStart"/>
      <w:r w:rsidR="008161AC" w:rsidRPr="00D718E6">
        <w:rPr>
          <w:b/>
        </w:rPr>
        <w:t>17.12.2018</w:t>
      </w:r>
      <w:proofErr w:type="gramEnd"/>
      <w:r w:rsidRPr="00D718E6">
        <w:rPr>
          <w:b/>
        </w:rPr>
        <w:t xml:space="preserve"> </w:t>
      </w:r>
    </w:p>
    <w:p w:rsidR="00140E69" w:rsidRDefault="00140E69" w:rsidP="00140E69">
      <w:pPr>
        <w:jc w:val="right"/>
      </w:pPr>
    </w:p>
    <w:p w:rsidR="00140E69" w:rsidRDefault="00140E69" w:rsidP="00140E69">
      <w:pPr>
        <w:jc w:val="right"/>
      </w:pPr>
    </w:p>
    <w:p w:rsidR="00140E69" w:rsidRPr="0019106D" w:rsidRDefault="00140E69" w:rsidP="00140E69">
      <w:pPr>
        <w:pStyle w:val="Nadpis1"/>
        <w:rPr>
          <w:rFonts w:ascii="Times New Roman" w:hAnsi="Times New Roman" w:cs="Times New Roman"/>
          <w:b/>
        </w:rPr>
      </w:pPr>
      <w:r w:rsidRPr="0019106D">
        <w:rPr>
          <w:rFonts w:ascii="Times New Roman" w:hAnsi="Times New Roman" w:cs="Times New Roman"/>
          <w:b/>
        </w:rPr>
        <w:t>Zásady pro hospodaření MČ Praha – Velká Chuchle v období</w:t>
      </w:r>
    </w:p>
    <w:p w:rsidR="00140E69" w:rsidRPr="0019106D" w:rsidRDefault="00140E69" w:rsidP="00140E69">
      <w:pPr>
        <w:jc w:val="center"/>
        <w:rPr>
          <w:b/>
          <w:sz w:val="32"/>
        </w:rPr>
      </w:pPr>
      <w:r w:rsidRPr="0019106D">
        <w:rPr>
          <w:b/>
          <w:sz w:val="32"/>
        </w:rPr>
        <w:t>rozpočtového provizoria v roce 201</w:t>
      </w:r>
      <w:r>
        <w:rPr>
          <w:b/>
          <w:sz w:val="32"/>
        </w:rPr>
        <w:t>9</w:t>
      </w:r>
    </w:p>
    <w:p w:rsidR="00140E69" w:rsidRPr="0019106D" w:rsidRDefault="00140E69" w:rsidP="00140E69">
      <w:pPr>
        <w:jc w:val="both"/>
      </w:pPr>
    </w:p>
    <w:p w:rsidR="00140E69" w:rsidRPr="0019106D" w:rsidRDefault="00140E69" w:rsidP="00140E69">
      <w:pPr>
        <w:jc w:val="both"/>
      </w:pPr>
    </w:p>
    <w:p w:rsidR="00845431" w:rsidRDefault="00140E69" w:rsidP="00845431">
      <w:pPr>
        <w:ind w:firstLine="708"/>
        <w:jc w:val="both"/>
      </w:pPr>
      <w:r w:rsidRPr="0019106D">
        <w:t xml:space="preserve">Vzhledem k tomu, že rozpočet MČ Praha – </w:t>
      </w:r>
      <w:r>
        <w:t>Velká Chuchle</w:t>
      </w:r>
      <w:r w:rsidRPr="0019106D">
        <w:t xml:space="preserve"> </w:t>
      </w:r>
      <w:r>
        <w:t>na r</w:t>
      </w:r>
      <w:r w:rsidR="008161AC">
        <w:t>ok</w:t>
      </w:r>
      <w:r>
        <w:t xml:space="preserve"> 2019 </w:t>
      </w:r>
      <w:r w:rsidRPr="0019106D">
        <w:t>neb</w:t>
      </w:r>
      <w:r>
        <w:t>ude</w:t>
      </w:r>
      <w:r w:rsidRPr="0019106D">
        <w:t xml:space="preserve"> schválen </w:t>
      </w:r>
      <w:r>
        <w:t xml:space="preserve">do 31.12.2018, </w:t>
      </w:r>
      <w:r w:rsidRPr="0019106D">
        <w:t xml:space="preserve">bude se řídit hospodaření MČ </w:t>
      </w:r>
      <w:r>
        <w:t>v roce 2019 až</w:t>
      </w:r>
      <w:r w:rsidRPr="0019106D">
        <w:t xml:space="preserve"> do schválení jejího rozpočtu </w:t>
      </w:r>
      <w:r>
        <w:t xml:space="preserve">(nejpozději do 31.3.2019) </w:t>
      </w:r>
      <w:r w:rsidRPr="0019106D">
        <w:t>těmito pravidly rozpočtového provizoria</w:t>
      </w:r>
      <w:r>
        <w:t>, které vyplývají z</w:t>
      </w:r>
      <w:r w:rsidR="008161AC">
        <w:t xml:space="preserve"> ustanovení </w:t>
      </w:r>
      <w:r>
        <w:t>§ 13 zákona č.250/2000 Sb., o rozpočtových pravidlech územních rozpočtů</w:t>
      </w:r>
      <w:r w:rsidR="008161AC">
        <w:t>, v platném znění,</w:t>
      </w:r>
      <w:r>
        <w:t xml:space="preserve"> a zásad pro hospodaření v období rozpočtového provizoria na rok 2019 pro městské části </w:t>
      </w:r>
      <w:r w:rsidR="008161AC">
        <w:t>HMP</w:t>
      </w:r>
      <w:r>
        <w:t>, které schválila svým usnesením č. 1316 Rada HMP dne 5. 6. 2018</w:t>
      </w:r>
      <w:r w:rsidR="00845431">
        <w:t>.</w:t>
      </w:r>
    </w:p>
    <w:p w:rsidR="00140E69" w:rsidRPr="0019106D" w:rsidRDefault="00845431" w:rsidP="00845431">
      <w:pPr>
        <w:ind w:firstLine="708"/>
        <w:jc w:val="both"/>
      </w:pPr>
      <w:r w:rsidRPr="0019106D">
        <w:t xml:space="preserve"> </w:t>
      </w:r>
    </w:p>
    <w:p w:rsidR="00140E69" w:rsidRDefault="00140E69" w:rsidP="00140E69">
      <w:pPr>
        <w:numPr>
          <w:ilvl w:val="0"/>
          <w:numId w:val="1"/>
        </w:numPr>
        <w:tabs>
          <w:tab w:val="left" w:pos="284"/>
        </w:tabs>
        <w:jc w:val="both"/>
      </w:pPr>
      <w:r w:rsidRPr="0019106D">
        <w:t>Pokud to zákonné nebo smluvní povinnosti neu</w:t>
      </w:r>
      <w:r>
        <w:t xml:space="preserve">rčují jinak, čerpají se měsíční výdaje </w:t>
      </w:r>
      <w:r w:rsidRPr="0019106D">
        <w:t>maximálně do výše 1/12 schváleného rozpočtu na rok 201</w:t>
      </w:r>
      <w:r>
        <w:t>8</w:t>
      </w:r>
      <w:r w:rsidRPr="0019106D">
        <w:t>, příspěvky na</w:t>
      </w:r>
      <w:r>
        <w:t xml:space="preserve"> </w:t>
      </w:r>
      <w:r w:rsidRPr="0019106D">
        <w:t xml:space="preserve">provoz pro příspěvkové organizace zřízené MČ Praha – </w:t>
      </w:r>
      <w:r>
        <w:t>Velká Chuchle</w:t>
      </w:r>
      <w:r w:rsidRPr="0019106D">
        <w:t xml:space="preserve"> budou zasílány</w:t>
      </w:r>
      <w:r>
        <w:t xml:space="preserve"> </w:t>
      </w:r>
      <w:r w:rsidRPr="0019106D">
        <w:t>taktéž ve výši maximálně 1/12 schváleného rozpočtu</w:t>
      </w:r>
      <w:r>
        <w:t xml:space="preserve"> na rok 2018</w:t>
      </w:r>
      <w:r w:rsidRPr="0019106D">
        <w:t>.</w:t>
      </w:r>
      <w:r>
        <w:t xml:space="preserve"> Zákonné i smluvní povinnosti musí být plněny včas a řádně. Vyšší výdaje lze stanovit pouze v případě, že jejich zvýšení přímo souvisí se zvýšením financování výdajů stanovených jiným zákonem nebo v případě výdajů z důvodu předfinancování projektů spolufinancovaných z rozpočtu EU.</w:t>
      </w:r>
    </w:p>
    <w:p w:rsidR="00140E69" w:rsidRPr="0019106D" w:rsidRDefault="00140E69" w:rsidP="00140E69">
      <w:pPr>
        <w:jc w:val="both"/>
      </w:pPr>
    </w:p>
    <w:p w:rsidR="00140E69" w:rsidRDefault="00140E69" w:rsidP="00140E69">
      <w:pPr>
        <w:numPr>
          <w:ilvl w:val="0"/>
          <w:numId w:val="1"/>
        </w:numPr>
        <w:jc w:val="both"/>
      </w:pPr>
      <w:r w:rsidRPr="0019106D">
        <w:t>Běžné výdaje – finanční prostředky budou vynakládány pouze na základní provozní potřeby. Výše čerpání výdajů musí</w:t>
      </w:r>
      <w:r>
        <w:t xml:space="preserve"> být přizpůsobena skutečnému </w:t>
      </w:r>
      <w:r w:rsidRPr="0019106D">
        <w:t>objemu použitelných prostředků.</w:t>
      </w:r>
    </w:p>
    <w:p w:rsidR="00140E69" w:rsidRPr="0019106D" w:rsidRDefault="00140E69" w:rsidP="00140E69">
      <w:pPr>
        <w:ind w:left="360"/>
        <w:jc w:val="both"/>
      </w:pPr>
    </w:p>
    <w:p w:rsidR="00140E69" w:rsidRDefault="00140E69" w:rsidP="00140E69">
      <w:pPr>
        <w:numPr>
          <w:ilvl w:val="0"/>
          <w:numId w:val="1"/>
        </w:numPr>
        <w:jc w:val="both"/>
      </w:pPr>
      <w:r w:rsidRPr="0019106D">
        <w:t>Kapit</w:t>
      </w:r>
      <w:r>
        <w:t>álové výdaje – v období rozpočtového</w:t>
      </w:r>
      <w:r w:rsidRPr="0019106D">
        <w:t xml:space="preserve"> provizoria budou uvolňovány investiční    </w:t>
      </w:r>
      <w:r>
        <w:t>p</w:t>
      </w:r>
      <w:r w:rsidRPr="0019106D">
        <w:t>rostředky pouze na neodkladné platby za prá</w:t>
      </w:r>
      <w:r>
        <w:t xml:space="preserve">ce smluvně zajištěné v roce 2018 (příp. předchozích letech) </w:t>
      </w:r>
      <w:r w:rsidRPr="0019106D">
        <w:t>a na akce již rozestavěné z předchozích let.</w:t>
      </w:r>
    </w:p>
    <w:p w:rsidR="00140E69" w:rsidRDefault="00140E69" w:rsidP="00140E69">
      <w:pPr>
        <w:jc w:val="both"/>
      </w:pPr>
    </w:p>
    <w:p w:rsidR="00140E69" w:rsidRDefault="00140E69" w:rsidP="00140E69">
      <w:pPr>
        <w:numPr>
          <w:ilvl w:val="0"/>
          <w:numId w:val="1"/>
        </w:numPr>
        <w:jc w:val="both"/>
      </w:pPr>
      <w:r>
        <w:t>V tomto období MČ Praha – Velká Chuchle neuzavírá nové smluvní vztahy, pokud není jistota, že na jejich plnění bude mít potřebné finanční prostředky.</w:t>
      </w:r>
    </w:p>
    <w:p w:rsidR="00140E69" w:rsidRDefault="00140E69" w:rsidP="00140E69">
      <w:pPr>
        <w:jc w:val="both"/>
      </w:pPr>
    </w:p>
    <w:p w:rsidR="00140E69" w:rsidRDefault="00140E69" w:rsidP="00140E69">
      <w:pPr>
        <w:numPr>
          <w:ilvl w:val="0"/>
          <w:numId w:val="1"/>
        </w:numPr>
        <w:jc w:val="both"/>
      </w:pPr>
      <w:r>
        <w:t>Rozpočtové příjmy a výdaje uskutečněné v době rozpočtového provizoria se stávají příjmy a výdaji rozpočtu po jeho schválení.</w:t>
      </w: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Pr="0019106D" w:rsidRDefault="00140E69" w:rsidP="00140E69">
      <w:pPr>
        <w:jc w:val="both"/>
      </w:pPr>
    </w:p>
    <w:p w:rsidR="00140E69" w:rsidRPr="0019106D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845431">
      <w:pPr>
        <w:pStyle w:val="Nzev"/>
        <w:jc w:val="right"/>
        <w:rPr>
          <w:u w:val="single"/>
        </w:rPr>
      </w:pPr>
      <w:r w:rsidRPr="00621A04">
        <w:rPr>
          <w:u w:val="single"/>
        </w:rPr>
        <w:lastRenderedPageBreak/>
        <w:t>Příloha č.</w:t>
      </w:r>
      <w:r w:rsidR="008161AC">
        <w:rPr>
          <w:u w:val="single"/>
        </w:rPr>
        <w:t xml:space="preserve"> </w:t>
      </w:r>
      <w:r>
        <w:rPr>
          <w:u w:val="single"/>
        </w:rPr>
        <w:t>1</w:t>
      </w:r>
      <w:r w:rsidRPr="00621A04">
        <w:rPr>
          <w:u w:val="single"/>
        </w:rPr>
        <w:t xml:space="preserve"> k usn</w:t>
      </w:r>
      <w:r>
        <w:rPr>
          <w:u w:val="single"/>
        </w:rPr>
        <w:t>esení</w:t>
      </w:r>
      <w:r w:rsidRPr="00621A04">
        <w:rPr>
          <w:u w:val="single"/>
        </w:rPr>
        <w:t xml:space="preserve"> R</w:t>
      </w:r>
      <w:r>
        <w:rPr>
          <w:u w:val="single"/>
        </w:rPr>
        <w:t xml:space="preserve">ady </w:t>
      </w:r>
      <w:r w:rsidRPr="00621A04">
        <w:rPr>
          <w:u w:val="single"/>
        </w:rPr>
        <w:t>HMP č. </w:t>
      </w:r>
      <w:r>
        <w:rPr>
          <w:u w:val="single"/>
        </w:rPr>
        <w:t xml:space="preserve">1316  </w:t>
      </w:r>
      <w:r w:rsidRPr="00621A04">
        <w:rPr>
          <w:u w:val="single"/>
        </w:rPr>
        <w:t>ze dne</w:t>
      </w:r>
      <w:r>
        <w:rPr>
          <w:u w:val="single"/>
        </w:rPr>
        <w:t xml:space="preserve"> 5.6.2018</w:t>
      </w:r>
    </w:p>
    <w:p w:rsidR="00140E69" w:rsidRDefault="00140E69" w:rsidP="00140E69">
      <w:pPr>
        <w:pStyle w:val="Nzev"/>
        <w:jc w:val="left"/>
      </w:pPr>
    </w:p>
    <w:p w:rsidR="00140E69" w:rsidRDefault="00140E69" w:rsidP="00140E69">
      <w:pPr>
        <w:pStyle w:val="Nadpis1"/>
      </w:pPr>
    </w:p>
    <w:p w:rsidR="00845431" w:rsidRPr="00845431" w:rsidRDefault="00845431" w:rsidP="008454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45431">
        <w:rPr>
          <w:rFonts w:eastAsiaTheme="minorHAnsi"/>
          <w:b/>
          <w:bCs/>
          <w:sz w:val="28"/>
          <w:szCs w:val="28"/>
          <w:lang w:eastAsia="en-US"/>
        </w:rPr>
        <w:t>IV. Návrh pravidel hospodaření v období rozpočtového provizoria na rok 2019 pro městské části hlavního města Prahy</w:t>
      </w:r>
    </w:p>
    <w:p w:rsidR="00845431" w:rsidRPr="00845431" w:rsidRDefault="00845431" w:rsidP="0084543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845431">
        <w:rPr>
          <w:rFonts w:eastAsiaTheme="minorHAnsi"/>
          <w:i/>
          <w:iCs/>
          <w:lang w:eastAsia="en-US"/>
        </w:rPr>
        <w:t>Vzhledem k tomu, že nelze zabezpečit, aby všechny městské části hlavního města Prahy měly</w:t>
      </w:r>
      <w:r>
        <w:rPr>
          <w:rFonts w:eastAsiaTheme="minorHAnsi"/>
          <w:i/>
          <w:iCs/>
          <w:lang w:eastAsia="en-US"/>
        </w:rPr>
        <w:t xml:space="preserve"> </w:t>
      </w:r>
      <w:r w:rsidRPr="00845431">
        <w:rPr>
          <w:rFonts w:eastAsiaTheme="minorHAnsi"/>
          <w:i/>
          <w:iCs/>
          <w:lang w:eastAsia="en-US"/>
        </w:rPr>
        <w:t>své rozpoč</w:t>
      </w:r>
      <w:r>
        <w:rPr>
          <w:rFonts w:eastAsiaTheme="minorHAnsi"/>
          <w:i/>
          <w:iCs/>
          <w:lang w:eastAsia="en-US"/>
        </w:rPr>
        <w:t>ty na rok 2019</w:t>
      </w:r>
      <w:r w:rsidRPr="00845431">
        <w:rPr>
          <w:rFonts w:eastAsiaTheme="minorHAnsi"/>
          <w:i/>
          <w:iCs/>
          <w:lang w:eastAsia="en-US"/>
        </w:rPr>
        <w:t xml:space="preserve"> schváleny zastupitelstvy městských částí do konce roku 201</w:t>
      </w:r>
      <w:r>
        <w:rPr>
          <w:rFonts w:eastAsiaTheme="minorHAnsi"/>
          <w:i/>
          <w:iCs/>
          <w:lang w:eastAsia="en-US"/>
        </w:rPr>
        <w:t>8</w:t>
      </w:r>
      <w:r w:rsidRPr="00845431">
        <w:rPr>
          <w:rFonts w:eastAsiaTheme="minorHAnsi"/>
          <w:i/>
          <w:iCs/>
          <w:lang w:eastAsia="en-US"/>
        </w:rPr>
        <w:t>,</w:t>
      </w:r>
      <w:r>
        <w:rPr>
          <w:rFonts w:eastAsiaTheme="minorHAnsi"/>
          <w:i/>
          <w:iCs/>
          <w:lang w:eastAsia="en-US"/>
        </w:rPr>
        <w:t xml:space="preserve"> </w:t>
      </w:r>
      <w:r w:rsidRPr="00845431">
        <w:rPr>
          <w:rFonts w:eastAsiaTheme="minorHAnsi"/>
          <w:i/>
          <w:iCs/>
          <w:lang w:eastAsia="en-US"/>
        </w:rPr>
        <w:t>navrhují se níže uvedená pravidla rozpočtového provizoria pro městské části hl. m. Prahy na</w:t>
      </w:r>
      <w:r>
        <w:rPr>
          <w:rFonts w:eastAsiaTheme="minorHAnsi"/>
          <w:i/>
          <w:iCs/>
          <w:lang w:eastAsia="en-US"/>
        </w:rPr>
        <w:t xml:space="preserve"> </w:t>
      </w:r>
      <w:r w:rsidRPr="00845431">
        <w:rPr>
          <w:rFonts w:eastAsiaTheme="minorHAnsi"/>
          <w:i/>
          <w:iCs/>
          <w:lang w:eastAsia="en-US"/>
        </w:rPr>
        <w:t>rok 2019. V nich jsou zakotveny hlavní zásady, které by měly být obsaženy ve vlastních</w:t>
      </w:r>
      <w:r>
        <w:rPr>
          <w:rFonts w:eastAsiaTheme="minorHAnsi"/>
          <w:i/>
          <w:iCs/>
          <w:lang w:eastAsia="en-US"/>
        </w:rPr>
        <w:t xml:space="preserve"> </w:t>
      </w:r>
      <w:r w:rsidRPr="00845431">
        <w:rPr>
          <w:rFonts w:eastAsiaTheme="minorHAnsi"/>
          <w:i/>
          <w:iCs/>
          <w:lang w:eastAsia="en-US"/>
        </w:rPr>
        <w:t>pravidlech pro hospodaření v období rozpočtového provizoria jednotlivých městských částí.</w:t>
      </w:r>
      <w:r>
        <w:rPr>
          <w:rFonts w:eastAsiaTheme="minorHAnsi"/>
          <w:i/>
          <w:iCs/>
          <w:lang w:eastAsia="en-US"/>
        </w:rPr>
        <w:t xml:space="preserve"> </w:t>
      </w:r>
      <w:r w:rsidRPr="00845431">
        <w:rPr>
          <w:rFonts w:eastAsiaTheme="minorHAnsi"/>
          <w:i/>
          <w:iCs/>
          <w:lang w:eastAsia="en-US"/>
        </w:rPr>
        <w:t>Pravidla musí být v souladu se zákonem č. 250/2000 Sb., v platném znění, schvá</w:t>
      </w:r>
      <w:r>
        <w:rPr>
          <w:rFonts w:eastAsiaTheme="minorHAnsi"/>
          <w:i/>
          <w:iCs/>
          <w:lang w:eastAsia="en-US"/>
        </w:rPr>
        <w:t xml:space="preserve">lena </w:t>
      </w:r>
      <w:r w:rsidRPr="00845431">
        <w:rPr>
          <w:rFonts w:eastAsiaTheme="minorHAnsi"/>
          <w:i/>
          <w:iCs/>
          <w:lang w:eastAsia="en-US"/>
        </w:rPr>
        <w:t>zastupitelstvy městských částí. Schválená pravidla musí být zveřejněna na internetových</w:t>
      </w:r>
      <w:r>
        <w:rPr>
          <w:rFonts w:eastAsiaTheme="minorHAnsi"/>
          <w:i/>
          <w:iCs/>
          <w:lang w:eastAsia="en-US"/>
        </w:rPr>
        <w:t xml:space="preserve"> </w:t>
      </w:r>
      <w:r w:rsidRPr="00845431">
        <w:rPr>
          <w:rFonts w:eastAsiaTheme="minorHAnsi"/>
          <w:i/>
          <w:iCs/>
          <w:lang w:eastAsia="en-US"/>
        </w:rPr>
        <w:t>stránkách MČ do 30 dnů ode dne jejich schválení a současně musí být oznámeno na úřední</w:t>
      </w:r>
      <w:r>
        <w:rPr>
          <w:rFonts w:eastAsiaTheme="minorHAnsi"/>
          <w:i/>
          <w:iCs/>
          <w:lang w:eastAsia="en-US"/>
        </w:rPr>
        <w:t xml:space="preserve"> </w:t>
      </w:r>
      <w:r w:rsidRPr="00845431">
        <w:rPr>
          <w:rFonts w:eastAsiaTheme="minorHAnsi"/>
          <w:i/>
          <w:iCs/>
          <w:lang w:eastAsia="en-US"/>
        </w:rPr>
        <w:t>desce, kde jsou zveřejněna v elektronické podobě a kde je možno nahlédnout do jejich listinné</w:t>
      </w:r>
      <w:r>
        <w:rPr>
          <w:rFonts w:eastAsiaTheme="minorHAnsi"/>
          <w:i/>
          <w:iCs/>
          <w:lang w:eastAsia="en-US"/>
        </w:rPr>
        <w:t xml:space="preserve"> </w:t>
      </w:r>
      <w:r w:rsidRPr="00845431">
        <w:rPr>
          <w:rFonts w:eastAsiaTheme="minorHAnsi"/>
          <w:i/>
          <w:iCs/>
          <w:lang w:eastAsia="en-US"/>
        </w:rPr>
        <w:t>podoby. Městské části se pravidly budou řídit v době do schválení rozpočtu zastupitelstvy</w:t>
      </w:r>
      <w:r>
        <w:rPr>
          <w:rFonts w:eastAsiaTheme="minorHAnsi"/>
          <w:i/>
          <w:iCs/>
          <w:lang w:eastAsia="en-US"/>
        </w:rPr>
        <w:t xml:space="preserve"> </w:t>
      </w:r>
      <w:r w:rsidRPr="00845431">
        <w:rPr>
          <w:rFonts w:eastAsiaTheme="minorHAnsi"/>
          <w:i/>
          <w:iCs/>
          <w:lang w:eastAsia="en-US"/>
        </w:rPr>
        <w:t xml:space="preserve">městských částí. </w:t>
      </w:r>
      <w:r w:rsidRPr="00845431">
        <w:rPr>
          <w:rFonts w:eastAsiaTheme="minorHAnsi"/>
          <w:b/>
          <w:bCs/>
          <w:i/>
          <w:iCs/>
          <w:lang w:eastAsia="en-US"/>
        </w:rPr>
        <w:t>Pravidla rozpočtového provizoria se schvalují na rok 2019 (nikoli např. na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 w:rsidRPr="00845431">
        <w:rPr>
          <w:rFonts w:eastAsiaTheme="minorHAnsi"/>
          <w:b/>
          <w:bCs/>
          <w:i/>
          <w:iCs/>
          <w:lang w:eastAsia="en-US"/>
        </w:rPr>
        <w:t>období od 1. 1. 2019 do 31. 3. 2019) nebo jako časově neomezená, která platí více let a M</w:t>
      </w:r>
      <w:r>
        <w:rPr>
          <w:rFonts w:eastAsiaTheme="minorHAnsi"/>
          <w:b/>
          <w:bCs/>
          <w:i/>
          <w:iCs/>
          <w:lang w:eastAsia="en-US"/>
        </w:rPr>
        <w:t xml:space="preserve">Č </w:t>
      </w:r>
      <w:r w:rsidRPr="00845431">
        <w:rPr>
          <w:rFonts w:eastAsiaTheme="minorHAnsi"/>
          <w:b/>
          <w:bCs/>
          <w:i/>
          <w:iCs/>
          <w:lang w:eastAsia="en-US"/>
        </w:rPr>
        <w:t>se jimi řídí vždy po dobu do schválení rozpočtu na daný rok.</w:t>
      </w:r>
    </w:p>
    <w:p w:rsidR="00845431" w:rsidRP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845431" w:rsidRP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5431">
        <w:rPr>
          <w:rFonts w:eastAsiaTheme="minorHAnsi"/>
          <w:lang w:eastAsia="en-US"/>
        </w:rPr>
        <w:t>Měsíční výdaje městské části stanovené v pravidlech rozpočtového provizoria nesmí překročit</w:t>
      </w:r>
    </w:p>
    <w:p w:rsidR="00845431" w:rsidRP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5431">
        <w:rPr>
          <w:rFonts w:eastAsiaTheme="minorHAnsi"/>
          <w:lang w:eastAsia="en-US"/>
        </w:rPr>
        <w:t>1/12 výdajů schváleného rozpočtu pro předchozí rozpočtový rok. Vyšší výdaje lze stanovit</w:t>
      </w:r>
      <w:r>
        <w:rPr>
          <w:rFonts w:eastAsiaTheme="minorHAnsi"/>
          <w:lang w:eastAsia="en-US"/>
        </w:rPr>
        <w:t xml:space="preserve"> </w:t>
      </w:r>
      <w:r w:rsidRPr="00845431">
        <w:rPr>
          <w:rFonts w:eastAsiaTheme="minorHAnsi"/>
          <w:lang w:eastAsia="en-US"/>
        </w:rPr>
        <w:t>pouze v případě, že jejich zvýšení přímo souvisí se zvýšením financování výdajů stanovených</w:t>
      </w:r>
    </w:p>
    <w:p w:rsid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5431">
        <w:rPr>
          <w:rFonts w:eastAsiaTheme="minorHAnsi"/>
          <w:lang w:eastAsia="en-US"/>
        </w:rPr>
        <w:t>jiným zákonem nebo v případě výdajů z důvodu předfinancování projektů</w:t>
      </w:r>
      <w:r>
        <w:rPr>
          <w:rFonts w:eastAsiaTheme="minorHAnsi"/>
          <w:lang w:eastAsia="en-US"/>
        </w:rPr>
        <w:t xml:space="preserve"> </w:t>
      </w:r>
      <w:r w:rsidRPr="00845431">
        <w:rPr>
          <w:rFonts w:eastAsiaTheme="minorHAnsi"/>
          <w:lang w:eastAsia="en-US"/>
        </w:rPr>
        <w:t>spolufinancovaných z rozpočtu EU.</w:t>
      </w:r>
    </w:p>
    <w:p w:rsidR="00845431" w:rsidRP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5431">
        <w:rPr>
          <w:rFonts w:eastAsiaTheme="minorHAnsi"/>
          <w:lang w:eastAsia="en-US"/>
        </w:rPr>
        <w:t>Městská část v období rozpočtového provizoria přizpůsobí reálný průběh svých výdajů</w:t>
      </w:r>
      <w:r>
        <w:rPr>
          <w:rFonts w:eastAsiaTheme="minorHAnsi"/>
          <w:lang w:eastAsia="en-US"/>
        </w:rPr>
        <w:t xml:space="preserve"> </w:t>
      </w:r>
      <w:r w:rsidRPr="00845431">
        <w:rPr>
          <w:rFonts w:eastAsiaTheme="minorHAnsi"/>
          <w:lang w:eastAsia="en-US"/>
        </w:rPr>
        <w:t>skutečnému objemu použitelných finančních prostředků.</w:t>
      </w:r>
    </w:p>
    <w:p w:rsidR="00845431" w:rsidRP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5431">
        <w:rPr>
          <w:rFonts w:eastAsiaTheme="minorHAnsi"/>
          <w:lang w:eastAsia="en-US"/>
        </w:rPr>
        <w:t>Plynulost finančního hospodaření vyžaduje, aby včas a řádně byly plněny zákonné i smluvní</w:t>
      </w:r>
      <w:r>
        <w:rPr>
          <w:rFonts w:eastAsiaTheme="minorHAnsi"/>
          <w:lang w:eastAsia="en-US"/>
        </w:rPr>
        <w:t xml:space="preserve"> </w:t>
      </w:r>
      <w:r w:rsidRPr="00845431">
        <w:rPr>
          <w:rFonts w:eastAsiaTheme="minorHAnsi"/>
          <w:lang w:eastAsia="en-US"/>
        </w:rPr>
        <w:t>povinnosti městské části.</w:t>
      </w:r>
    </w:p>
    <w:p w:rsidR="00845431" w:rsidRP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5431">
        <w:rPr>
          <w:rFonts w:eastAsiaTheme="minorHAnsi"/>
          <w:lang w:eastAsia="en-US"/>
        </w:rPr>
        <w:t>V období rozpočtového provizoria by městská část neměla uzavírat nové smluvní vztahy,</w:t>
      </w:r>
      <w:r>
        <w:rPr>
          <w:rFonts w:eastAsiaTheme="minorHAnsi"/>
          <w:lang w:eastAsia="en-US"/>
        </w:rPr>
        <w:t xml:space="preserve"> </w:t>
      </w:r>
      <w:r w:rsidRPr="00845431">
        <w:rPr>
          <w:rFonts w:eastAsiaTheme="minorHAnsi"/>
          <w:lang w:eastAsia="en-US"/>
        </w:rPr>
        <w:t>pokud není jistota, že na jejich plnění bude mít potřebné finanční prostředky.</w:t>
      </w:r>
    </w:p>
    <w:p w:rsidR="00845431" w:rsidRP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5431" w:rsidRPr="00845431" w:rsidRDefault="00845431" w:rsidP="00845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5431">
        <w:rPr>
          <w:rFonts w:eastAsiaTheme="minorHAnsi"/>
          <w:lang w:eastAsia="en-US"/>
        </w:rPr>
        <w:t>Rozpočtové příjmy a výdaje uskutečněné v době rozpočtového provizoria se stávají příjmy</w:t>
      </w:r>
      <w:r>
        <w:rPr>
          <w:rFonts w:eastAsiaTheme="minorHAnsi"/>
          <w:lang w:eastAsia="en-US"/>
        </w:rPr>
        <w:t xml:space="preserve"> </w:t>
      </w:r>
      <w:r w:rsidRPr="00845431">
        <w:rPr>
          <w:rFonts w:eastAsiaTheme="minorHAnsi"/>
          <w:lang w:eastAsia="en-US"/>
        </w:rPr>
        <w:t>a výdaji rozpočtu po jeho schválení.</w:t>
      </w:r>
    </w:p>
    <w:p w:rsidR="00140E69" w:rsidRPr="00845431" w:rsidRDefault="00140E69" w:rsidP="00140E69">
      <w:pPr>
        <w:jc w:val="center"/>
        <w:rPr>
          <w:b/>
          <w:bCs/>
          <w:u w:val="single"/>
        </w:rPr>
      </w:pPr>
    </w:p>
    <w:p w:rsidR="00140E69" w:rsidRPr="00845431" w:rsidRDefault="00140E69" w:rsidP="00140E69">
      <w:pPr>
        <w:jc w:val="center"/>
        <w:rPr>
          <w:b/>
          <w:bCs/>
          <w:u w:val="single"/>
        </w:rPr>
      </w:pPr>
    </w:p>
    <w:p w:rsidR="00140E69" w:rsidRDefault="00140E69" w:rsidP="00140E69">
      <w:pPr>
        <w:jc w:val="center"/>
        <w:rPr>
          <w:b/>
          <w:bCs/>
          <w:u w:val="single"/>
        </w:rPr>
      </w:pPr>
    </w:p>
    <w:p w:rsidR="00140E69" w:rsidRDefault="00140E69" w:rsidP="00140E69"/>
    <w:p w:rsidR="00140E69" w:rsidRDefault="00140E69" w:rsidP="00140E69">
      <w:pPr>
        <w:jc w:val="both"/>
        <w:rPr>
          <w:i/>
          <w:iCs/>
        </w:rPr>
      </w:pPr>
    </w:p>
    <w:p w:rsidR="00140E69" w:rsidRDefault="00140E69" w:rsidP="00140E69">
      <w:pPr>
        <w:jc w:val="both"/>
        <w:rPr>
          <w:i/>
          <w:iCs/>
        </w:rPr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p w:rsidR="00140E69" w:rsidRDefault="00140E69" w:rsidP="00140E69">
      <w:pPr>
        <w:jc w:val="both"/>
      </w:pP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1"/>
        <w:gridCol w:w="1085"/>
        <w:gridCol w:w="2797"/>
        <w:gridCol w:w="1035"/>
        <w:gridCol w:w="1760"/>
        <w:gridCol w:w="1594"/>
      </w:tblGrid>
      <w:tr w:rsidR="00140E69" w:rsidTr="00140E69">
        <w:trPr>
          <w:trHeight w:val="300"/>
        </w:trPr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Městská část Praha - Velká Chuchle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791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 w:rsidP="00140E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SCHVÁLENÝ ROZPOČET NA ROK 2018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15"/>
        </w:trPr>
        <w:tc>
          <w:tcPr>
            <w:tcW w:w="791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0E69" w:rsidRDefault="00140E6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75"/>
        </w:trPr>
        <w:tc>
          <w:tcPr>
            <w:tcW w:w="79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0E69" w:rsidRDefault="00140E6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Příjmy v tis. Kč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PARAGRAF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POLOŽKA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Text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ORJ - UZ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40E69" w:rsidRDefault="00140E69" w:rsidP="00140E6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ROZPOČET 2018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Daňové 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2 945,00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Nedaňové 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223,00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Kapitálové 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-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Přijaté dotace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14 267,00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17 435,00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6330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Převody z VHČ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900 - 0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-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3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Příjmy celkem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17 435,00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75"/>
        </w:trPr>
        <w:tc>
          <w:tcPr>
            <w:tcW w:w="79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0E69" w:rsidRDefault="00140E6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Financování v tis. Kč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PARAGRAF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POLOŽKA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Text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ORJ - UZ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40E69" w:rsidRDefault="00140E69" w:rsidP="00140E6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ROZPOČET 2018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15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Financování 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8 554,60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30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Zdrojová část rozpočtu 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25 989,60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15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75"/>
        </w:trPr>
        <w:tc>
          <w:tcPr>
            <w:tcW w:w="79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Výdaje v tis. Kč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POLOŽKA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ORJ - UZ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40E69" w:rsidRDefault="00140E69" w:rsidP="0014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2018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Silnice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2 534,00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15,00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Mateřská škola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1 067,00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škola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400 - 0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4 201,00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Kultura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265,30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Zpravodaj,wifi,SMS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282,00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Tělovýchovná činnost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134,80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Dětské hřiště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199,00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Ost.zájmová činnost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80,00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Pohřebnictví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10,00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Územní rozvoj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250,00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zeleň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560,00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500 - 0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271,00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JSDH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108,50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Zastupitelé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1 965,00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Místní správa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12 143,00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1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Poplatky bance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1000 - 0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17,00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61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Běžné výdaje 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24 102,60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Silnice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200 - 0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Mateřská škola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900,00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škola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437,00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Nebytové hospodářství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500,00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Místní správa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900 - 0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50,00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00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Kapitálové výdaje celkem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1 887,00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  <w:tr w:rsidR="00140E69" w:rsidTr="00140E69">
        <w:trPr>
          <w:trHeight w:val="330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Výdaje 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0E69" w:rsidRDefault="00140E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25 989,60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9" w:rsidRDefault="00140E69">
            <w:pPr>
              <w:rPr>
                <w:rFonts w:ascii="Calibri" w:hAnsi="Calibri"/>
                <w:color w:val="000000"/>
              </w:rPr>
            </w:pPr>
          </w:p>
        </w:tc>
      </w:tr>
    </w:tbl>
    <w:p w:rsidR="005224B6" w:rsidRDefault="005224B6" w:rsidP="00845431"/>
    <w:sectPr w:rsidR="005224B6" w:rsidSect="00140E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E6B"/>
    <w:multiLevelType w:val="hybridMultilevel"/>
    <w:tmpl w:val="E83E4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E69"/>
    <w:rsid w:val="00140E69"/>
    <w:rsid w:val="002F28A9"/>
    <w:rsid w:val="005148BB"/>
    <w:rsid w:val="005224B6"/>
    <w:rsid w:val="00582554"/>
    <w:rsid w:val="008161AC"/>
    <w:rsid w:val="00845431"/>
    <w:rsid w:val="009A4BF1"/>
    <w:rsid w:val="00D21E77"/>
    <w:rsid w:val="00D718E6"/>
    <w:rsid w:val="00F3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0E69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0E69"/>
    <w:rPr>
      <w:rFonts w:ascii="Arial" w:eastAsia="Times New Roman" w:hAnsi="Arial" w:cs="Arial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140E69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140E6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Velká Chuchle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Vilém Schulz</cp:lastModifiedBy>
  <cp:revision>2</cp:revision>
  <dcterms:created xsi:type="dcterms:W3CDTF">2018-12-20T16:25:00Z</dcterms:created>
  <dcterms:modified xsi:type="dcterms:W3CDTF">2018-12-20T16:25:00Z</dcterms:modified>
</cp:coreProperties>
</file>